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F63" w:rsidRPr="006B3F63" w:rsidRDefault="006B3F63" w:rsidP="00022695">
      <w:pPr>
        <w:shd w:val="clear" w:color="auto" w:fill="FFFFFF"/>
        <w:spacing w:before="40" w:after="40" w:line="240" w:lineRule="auto"/>
        <w:jc w:val="center"/>
        <w:rPr>
          <w:rFonts w:asciiTheme="majorHAnsi" w:eastAsia="Times New Roman" w:hAnsiTheme="majorHAnsi" w:cstheme="majorHAnsi"/>
          <w:b/>
          <w:sz w:val="28"/>
          <w:szCs w:val="28"/>
          <w:lang w:eastAsia="vi-VN"/>
        </w:rPr>
      </w:pPr>
      <w:bookmarkStart w:id="0" w:name="loai_pl22"/>
      <w:bookmarkStart w:id="1" w:name="_GoBack"/>
      <w:bookmarkEnd w:id="1"/>
      <w:r w:rsidRPr="006B3F63">
        <w:rPr>
          <w:rFonts w:asciiTheme="majorHAnsi" w:eastAsia="Times New Roman" w:hAnsiTheme="majorHAnsi" w:cstheme="majorHAnsi"/>
          <w:b/>
          <w:sz w:val="28"/>
          <w:szCs w:val="28"/>
          <w:lang w:eastAsia="vi-VN"/>
        </w:rPr>
        <w:t xml:space="preserve">PHỤ LỤC </w:t>
      </w:r>
      <w:bookmarkEnd w:id="0"/>
      <w:r w:rsidRPr="006B3F63">
        <w:rPr>
          <w:rFonts w:asciiTheme="majorHAnsi" w:eastAsia="Times New Roman" w:hAnsiTheme="majorHAnsi" w:cstheme="majorHAnsi"/>
          <w:b/>
          <w:sz w:val="28"/>
          <w:szCs w:val="28"/>
          <w:lang w:eastAsia="vi-VN"/>
        </w:rPr>
        <w:t>2</w:t>
      </w:r>
    </w:p>
    <w:p w:rsidR="006B3F63" w:rsidRPr="00022695" w:rsidRDefault="006B3F63" w:rsidP="00022695">
      <w:pPr>
        <w:shd w:val="clear" w:color="auto" w:fill="FFFFFF"/>
        <w:spacing w:before="40" w:after="40" w:line="240" w:lineRule="auto"/>
        <w:jc w:val="center"/>
        <w:rPr>
          <w:rFonts w:asciiTheme="majorHAnsi" w:eastAsia="Times New Roman" w:hAnsiTheme="majorHAnsi" w:cstheme="majorHAnsi"/>
          <w:b/>
          <w:sz w:val="28"/>
          <w:szCs w:val="28"/>
          <w:lang w:val="en-US" w:eastAsia="vi-VN"/>
        </w:rPr>
      </w:pPr>
      <w:bookmarkStart w:id="2" w:name="loai_pl22_name"/>
      <w:r w:rsidRPr="00022695">
        <w:rPr>
          <w:rFonts w:asciiTheme="majorHAnsi" w:eastAsia="Times New Roman" w:hAnsiTheme="majorHAnsi" w:cstheme="majorHAnsi"/>
          <w:b/>
          <w:sz w:val="28"/>
          <w:szCs w:val="28"/>
          <w:lang w:eastAsia="vi-VN"/>
        </w:rPr>
        <w:t>QUY ĐỊNH CHỨNG TỪ GỐC</w:t>
      </w:r>
    </w:p>
    <w:p w:rsidR="006B3F63" w:rsidRPr="00022695" w:rsidRDefault="006B3F63" w:rsidP="00022695">
      <w:pPr>
        <w:shd w:val="clear" w:color="auto" w:fill="FFFFFF"/>
        <w:spacing w:before="40" w:after="40" w:line="240" w:lineRule="auto"/>
        <w:jc w:val="center"/>
        <w:rPr>
          <w:rFonts w:asciiTheme="majorHAnsi" w:eastAsia="Times New Roman" w:hAnsiTheme="majorHAnsi" w:cstheme="majorHAnsi"/>
          <w:b/>
          <w:sz w:val="28"/>
          <w:szCs w:val="28"/>
          <w:lang w:val="en-US" w:eastAsia="vi-VN"/>
        </w:rPr>
      </w:pPr>
      <w:r w:rsidRPr="00022695">
        <w:rPr>
          <w:rFonts w:asciiTheme="majorHAnsi" w:eastAsia="Times New Roman" w:hAnsiTheme="majorHAnsi" w:cstheme="majorHAnsi"/>
          <w:b/>
          <w:sz w:val="28"/>
          <w:szCs w:val="28"/>
          <w:lang w:eastAsia="vi-VN"/>
        </w:rPr>
        <w:t xml:space="preserve">CỦA MỘT SỐ HOẠT ĐỘNG KHUYẾN CÔNG </w:t>
      </w:r>
      <w:bookmarkEnd w:id="2"/>
      <w:r w:rsidRPr="00022695">
        <w:rPr>
          <w:rFonts w:asciiTheme="majorHAnsi" w:eastAsia="Times New Roman" w:hAnsiTheme="majorHAnsi" w:cstheme="majorHAnsi"/>
          <w:b/>
          <w:sz w:val="28"/>
          <w:szCs w:val="28"/>
          <w:lang w:val="en-US" w:eastAsia="vi-VN"/>
        </w:rPr>
        <w:t>ĐỊA PHƯƠNG</w:t>
      </w:r>
    </w:p>
    <w:p w:rsidR="006B3F63" w:rsidRDefault="006B3F63" w:rsidP="00022695">
      <w:pPr>
        <w:shd w:val="clear" w:color="auto" w:fill="FFFFFF"/>
        <w:spacing w:before="40" w:after="40" w:line="240" w:lineRule="auto"/>
        <w:jc w:val="center"/>
        <w:rPr>
          <w:rFonts w:asciiTheme="majorHAnsi" w:eastAsia="Times New Roman" w:hAnsiTheme="majorHAnsi" w:cstheme="majorHAnsi"/>
          <w:i/>
          <w:iCs/>
          <w:sz w:val="28"/>
          <w:szCs w:val="28"/>
          <w:lang w:val="en-US" w:eastAsia="vi-VN"/>
        </w:rPr>
      </w:pPr>
      <w:r w:rsidRPr="006B3F63">
        <w:rPr>
          <w:rFonts w:asciiTheme="majorHAnsi" w:eastAsia="Times New Roman" w:hAnsiTheme="majorHAnsi" w:cstheme="majorHAnsi"/>
          <w:i/>
          <w:iCs/>
          <w:sz w:val="28"/>
          <w:szCs w:val="28"/>
          <w:lang w:eastAsia="vi-VN"/>
        </w:rPr>
        <w:t>(</w:t>
      </w:r>
      <w:r w:rsidRPr="006B3F63">
        <w:rPr>
          <w:rFonts w:asciiTheme="majorHAnsi" w:eastAsia="Times New Roman" w:hAnsiTheme="majorHAnsi" w:cstheme="majorHAnsi"/>
          <w:i/>
          <w:iCs/>
          <w:sz w:val="28"/>
          <w:szCs w:val="28"/>
          <w:lang w:val="en-US" w:eastAsia="vi-VN"/>
        </w:rPr>
        <w:t>Ban hành kèm theo Quyết định số…../2019/QĐ-UBND ngày …/…/2019</w:t>
      </w:r>
    </w:p>
    <w:p w:rsidR="006B3F63" w:rsidRPr="006B3F63" w:rsidRDefault="00022695" w:rsidP="00022695">
      <w:pPr>
        <w:shd w:val="clear" w:color="auto" w:fill="FFFFFF"/>
        <w:spacing w:before="40" w:after="40" w:line="240" w:lineRule="auto"/>
        <w:jc w:val="center"/>
        <w:rPr>
          <w:rFonts w:asciiTheme="majorHAnsi" w:eastAsia="Times New Roman" w:hAnsiTheme="majorHAnsi" w:cstheme="majorHAnsi"/>
          <w:sz w:val="28"/>
          <w:szCs w:val="28"/>
          <w:lang w:eastAsia="vi-VN"/>
        </w:rPr>
      </w:pPr>
      <w:r>
        <w:rPr>
          <w:rFonts w:asciiTheme="majorHAnsi" w:eastAsia="Times New Roman" w:hAnsiTheme="majorHAnsi" w:cstheme="majorHAnsi"/>
          <w:i/>
          <w:iCs/>
          <w:sz w:val="28"/>
          <w:szCs w:val="28"/>
          <w:lang w:val="en-US" w:eastAsia="vi-VN"/>
        </w:rPr>
        <w:t>của Uỷ ban nhân dân</w:t>
      </w:r>
      <w:r w:rsidR="006B3F63" w:rsidRPr="006B3F63">
        <w:rPr>
          <w:rFonts w:asciiTheme="majorHAnsi" w:eastAsia="Times New Roman" w:hAnsiTheme="majorHAnsi" w:cstheme="majorHAnsi"/>
          <w:i/>
          <w:iCs/>
          <w:sz w:val="28"/>
          <w:szCs w:val="28"/>
          <w:lang w:val="en-US" w:eastAsia="vi-VN"/>
        </w:rPr>
        <w:t xml:space="preserve"> tỉnh Đắk Nông</w:t>
      </w:r>
      <w:r w:rsidR="006B3F63" w:rsidRPr="006B3F63">
        <w:rPr>
          <w:rFonts w:asciiTheme="majorHAnsi" w:eastAsia="Times New Roman" w:hAnsiTheme="majorHAnsi" w:cstheme="majorHAnsi"/>
          <w:i/>
          <w:iCs/>
          <w:sz w:val="28"/>
          <w:szCs w:val="28"/>
          <w:lang w:eastAsia="vi-VN"/>
        </w:rPr>
        <w:t>)</w:t>
      </w:r>
    </w:p>
    <w:tbl>
      <w:tblPr>
        <w:tblW w:w="9801" w:type="dxa"/>
        <w:tblCellSpacing w:w="0" w:type="dxa"/>
        <w:shd w:val="clear" w:color="auto" w:fill="FFFFFF"/>
        <w:tblCellMar>
          <w:left w:w="0" w:type="dxa"/>
          <w:right w:w="0" w:type="dxa"/>
        </w:tblCellMar>
        <w:tblLook w:val="04A0" w:firstRow="1" w:lastRow="0" w:firstColumn="1" w:lastColumn="0" w:noHBand="0" w:noVBand="1"/>
      </w:tblPr>
      <w:tblGrid>
        <w:gridCol w:w="681"/>
        <w:gridCol w:w="3167"/>
        <w:gridCol w:w="144"/>
        <w:gridCol w:w="5809"/>
      </w:tblGrid>
      <w:tr w:rsidR="006B3F63" w:rsidRPr="006B3F63" w:rsidTr="006B3F63">
        <w:trPr>
          <w:tblHeader/>
          <w:tblCellSpacing w:w="0" w:type="dxa"/>
        </w:trPr>
        <w:tc>
          <w:tcPr>
            <w:tcW w:w="681" w:type="dxa"/>
            <w:tcBorders>
              <w:top w:val="single" w:sz="8" w:space="0" w:color="auto"/>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TT</w:t>
            </w:r>
          </w:p>
        </w:tc>
        <w:tc>
          <w:tcPr>
            <w:tcW w:w="3167" w:type="dxa"/>
            <w:tcBorders>
              <w:top w:val="single" w:sz="8" w:space="0" w:color="auto"/>
              <w:left w:val="nil"/>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Nội dung chi</w:t>
            </w:r>
          </w:p>
        </w:tc>
        <w:tc>
          <w:tcPr>
            <w:tcW w:w="5953" w:type="dxa"/>
            <w:gridSpan w:val="2"/>
            <w:tcBorders>
              <w:top w:val="single" w:sz="8" w:space="0" w:color="auto"/>
              <w:left w:val="nil"/>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Chứng từ</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I</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tổ chức đào tạo nghề, truyền nghề</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 Chi phí tuyển sinh, khai giảng, bế giảng, cấp chứng chỉ nghề</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Các chứng từ chi cho việc tuyển sinh, trang trí khánh tiết, thuê hội trường, mua mẫu chứng chỉ học nghề cho học viên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2. Chi mua/in tài liệu, giáo trình, học liệu học nghề (gọi chung là tài liệu)</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kèm theo tài liệu và danh sách ký nhận tài liệu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3. Chi thù lao giáo viên, người dạy nghề</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Hợp đồng giảng dạy trong đó nêu rõ số buổi giảng, số tiền/buổi giảng, nội dung chương trình giảng dạy; kèm theo danh sách ký nhận tiền/giấy biên nhận.</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Thanh lý hợp đồng kèm theo bảng chấm công học viên, giáo viên trong thời gian đào tạo. (Trường hợp thuê giáo viên là nghệ nhân phải có bản sao hợp lệ văn bằng danh hiệu kèm theo; giáo viên của các viện, trường và đối tượng khác phải có xác nhận của đơn vị quản lý trực tiếp/cơ quan có thẩm quyền).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4. Hỗ trợ nguyên, nhiên, vật liệu học nghề</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Hợp đồng (chủng loại, số lượng, đơn giá), thanh lý hợp đồng, hóa đơn tài chính về mua nguyên, nhiên, vật liệu.</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Chứng từ giao nhận nguyên, nhiên, vật liệu dùng cho đào tạo nghề: Phiếu xuất kho hoặc biên bản giao nhận hoặc danh sách nhận (có chữ ký của người nhận theo quy định).</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Các hồ sơ tài liệu liên quan: Biên bản bàn giao sản phẩm sau đào tạo, biên bản thanh lý nguyên, vật liệu (nếu có).</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Nếu mua nguyên liệu (hàng nông, lâm, thủy sản chưa qua chế biến) của người trực tiếp sản xuất thì phải có bảng kê thu mua hàng hóa, dịch vụ mua vào không có hóa đơn như quy định tại mẫu 01/TNDN ban hành kèm theo Thông tư </w:t>
            </w:r>
            <w:hyperlink r:id="rId8" w:tgtFrame="_blank" w:tooltip="Thông tư 123/2012/TT-BTC" w:history="1">
              <w:r w:rsidRPr="006B3F63">
                <w:rPr>
                  <w:rFonts w:asciiTheme="majorHAnsi" w:eastAsia="Times New Roman" w:hAnsiTheme="majorHAnsi" w:cstheme="majorHAnsi"/>
                  <w:sz w:val="28"/>
                  <w:szCs w:val="28"/>
                  <w:lang w:eastAsia="vi-VN"/>
                </w:rPr>
                <w:t>123/2012/TT-BTC</w:t>
              </w:r>
            </w:hyperlink>
            <w:r w:rsidRPr="006B3F63">
              <w:rPr>
                <w:rFonts w:asciiTheme="majorHAnsi" w:eastAsia="Times New Roman" w:hAnsiTheme="majorHAnsi" w:cstheme="majorHAnsi"/>
                <w:sz w:val="28"/>
                <w:szCs w:val="28"/>
                <w:lang w:eastAsia="vi-VN"/>
              </w:rPr>
              <w:t xml:space="preserve"> ngày 27/7/2012 của Bộ Tài chính Hướng dẫn thi hành một số điều của Luật </w:t>
            </w:r>
            <w:r w:rsidRPr="006B3F63">
              <w:rPr>
                <w:rFonts w:asciiTheme="majorHAnsi" w:eastAsia="Times New Roman" w:hAnsiTheme="majorHAnsi" w:cstheme="majorHAnsi"/>
                <w:sz w:val="28"/>
                <w:szCs w:val="28"/>
                <w:lang w:eastAsia="vi-VN"/>
              </w:rPr>
              <w:lastRenderedPageBreak/>
              <w:t>Thuế thu nhập doanh nghiệp số 14/2008/QH12 và hướng dẫn thi hành Nghị định số </w:t>
            </w:r>
            <w:hyperlink r:id="rId9" w:tgtFrame="_blank" w:tooltip="Nghị định 124/2008/NĐ-CP" w:history="1">
              <w:r w:rsidRPr="006B3F63">
                <w:rPr>
                  <w:rFonts w:asciiTheme="majorHAnsi" w:eastAsia="Times New Roman" w:hAnsiTheme="majorHAnsi" w:cstheme="majorHAnsi"/>
                  <w:sz w:val="28"/>
                  <w:szCs w:val="28"/>
                  <w:lang w:eastAsia="vi-VN"/>
                </w:rPr>
                <w:t>124/2008/NĐ-CP</w:t>
              </w:r>
            </w:hyperlink>
            <w:r w:rsidRPr="006B3F63">
              <w:rPr>
                <w:rFonts w:asciiTheme="majorHAnsi" w:eastAsia="Times New Roman" w:hAnsiTheme="majorHAnsi" w:cstheme="majorHAnsi"/>
                <w:sz w:val="28"/>
                <w:szCs w:val="28"/>
                <w:lang w:eastAsia="vi-VN"/>
              </w:rPr>
              <w:t> ngày 11/12/2008, Nghị định số </w:t>
            </w:r>
            <w:hyperlink r:id="rId10" w:tgtFrame="_blank" w:tooltip="Nghị định 122/2011/NĐ-CP" w:history="1">
              <w:r w:rsidRPr="006B3F63">
                <w:rPr>
                  <w:rFonts w:asciiTheme="majorHAnsi" w:eastAsia="Times New Roman" w:hAnsiTheme="majorHAnsi" w:cstheme="majorHAnsi"/>
                  <w:sz w:val="28"/>
                  <w:szCs w:val="28"/>
                  <w:lang w:eastAsia="vi-VN"/>
                </w:rPr>
                <w:t>122/2011/NĐ-CP</w:t>
              </w:r>
            </w:hyperlink>
            <w:r w:rsidRPr="006B3F63">
              <w:rPr>
                <w:rFonts w:asciiTheme="majorHAnsi" w:eastAsia="Times New Roman" w:hAnsiTheme="majorHAnsi" w:cstheme="majorHAnsi"/>
                <w:sz w:val="28"/>
                <w:szCs w:val="28"/>
                <w:lang w:eastAsia="vi-VN"/>
              </w:rPr>
              <w:t> ngày 27/12/2011 của Chính phủ quy định chi tiết thi hành một số điều của Luật Thuế thu nhập doanh nghiệp.</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5. Chi thuê lớp học, thuê thiết bị dạy nghề chuyên dụng (nếu có)</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Hợp đồng thuê (trong đó ghi rõ thời gian thuê, số lượng và đơn giá thuê), thanh lý hợp đồng; hóa đơn tài chính.</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Riêng trường hợp đào tạo ở các vùng miền núi, vùng sâu, vùng xa thuê lớp học của xã/thôn/bản/cá nhân không có hóa đơn tài chính: Hợp đồng (ghi rõ đơn vị bán không có hóa đơn tài chính) và có xác nhận của Ủy ban nhân dân xã (đối với thôn, bản và cá nhân); thanh lý hợp đồng, kèm theo phiếu thu/biên nhận là cơ sở để thanh toán.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6. Chi thuê phương tiện vận chuyển thiết bị dạy nghề đối với trường hợp dạy nghề lưu động</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thuê (trong đó ghi rõ thời gian thuê, số lượng và đơn giá thuê),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7. Trích khấu hao tài sản cố định phục vụ lớp học (nếu có)</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Chứng từ của đơn vị trích khấu hao các tài sản liên quan phục vụ lớp học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8. Chi phí chỉnh sửa, biên soạn lại chương trình, giáo trình (nếu có)</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khoán chuyên môn kèm theo sản phẩm theo từng hợp đồng. Ngoài ra, kèm theo 01 bộ tài liệu hoàn chỉnh do cấp có thẩm quyền phê duyệt.</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9. Chi cho công tác quản lý lớp học</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Quyết định cử cán bộ quản lý lớp học và các chứng từ chi phục vụ cho việc quản lý lớp học.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10. Đối với khoản chi hỗ trợ tiền ăn và tiền đi lại trong thời gian học cho người nghèo, người dân tộc thiểu số, thợ giỏi và nghệ nhân tiểu thủ công nghiệp</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Danh sách chi tiền cho học viên học viên đủ tiêu chuẩn được hỗ trợ theo từng tháng (có chữ ký nhận của học viên):</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Xác nhận của chính quyền địa phương (xã, phường, thị trấn) nơi đăng ký hộ khẩu thường trú của học viên (đối với người nghèo, người dân tộc thiểu số).</w:t>
            </w:r>
          </w:p>
          <w:p w:rsidR="006B3F63" w:rsidRPr="006B3F63" w:rsidRDefault="006B3F63" w:rsidP="0020790A">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 Xác nhận của </w:t>
            </w:r>
            <w:r w:rsidR="0020790A" w:rsidRPr="0020790A">
              <w:rPr>
                <w:rFonts w:asciiTheme="majorHAnsi" w:eastAsia="Times New Roman" w:hAnsiTheme="majorHAnsi" w:cstheme="majorHAnsi"/>
                <w:sz w:val="28"/>
                <w:szCs w:val="28"/>
                <w:lang w:eastAsia="vi-VN"/>
              </w:rPr>
              <w:t>Trung tâm Khuyến công và Xúc tiến thương mại</w:t>
            </w:r>
            <w:r w:rsidRPr="006B3F63">
              <w:rPr>
                <w:rFonts w:asciiTheme="majorHAnsi" w:eastAsia="Times New Roman" w:hAnsiTheme="majorHAnsi" w:cstheme="majorHAnsi"/>
                <w:sz w:val="28"/>
                <w:szCs w:val="28"/>
                <w:lang w:eastAsia="vi-VN"/>
              </w:rPr>
              <w:t xml:space="preserve"> (đối với thợ giỏi, nghệ nhân tiểu thủ công nghiệp).</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II</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biên soạn chương trình, giáo trình, tài liệu</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 Nội dung chi chung</w:t>
            </w:r>
          </w:p>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a) Chi cho hội nghị, tập huấn (nếu có)</w:t>
            </w:r>
          </w:p>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hội trường tổ chức hội nghị, tập huấn (trường hợp đơn vị phải thuê ngoài); thuê máy chiếu, trang thiết bị trực tiếp phục vụ hội nghị, tập huấn</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In tài liệu</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kèm theo bộ tài liệu và danh sách ký nhận tài liệu của các đại biểu tham dự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xe ô tô đưa đón đại biểu từ nơi nghỉ đến nơi tổ chức hội nghị, tập huấn</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xe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giảng viên, báo cáo viên (nếu có)</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Danh sách ký nhận tiền hoặc giấy biên nhận; hóa đơn tài chính/danh sách ký nhận tiền (tiền phòng nghỉ); vé tàu xe/hóa đơn thu tiền kèm thẻ lên máy bay (chi phí đi lại).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cho ban tổ chức</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Giấy đi đường (phụ cấp lưu trú), hóa đơn tài chính/danh sách ký nhận tiền theo mức khoán (tiền phòng nghỉ); vé tàu xe/hóa đơn thu tiền kèm thẻ lên máy bay (chi phí đi lại).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khác như: Làm thêm giờ, tiền thuốc chữa bệnh thông thường, tiền nước uống, trang trí hội trường,...</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chứng từ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 Chi công tác phí</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Giấy đi đường (phụ cấp lưu trú), hóa đơn tài chính/danh sách ký nhận tiền theo mức khoán (tiền phòng nghỉ); vé tàu xe/hóa đơn thu tiền kèm thẻ lên máy bay (chi phí đi lại).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 Chi in ấn tài liệu, văn phòng phẩm phục vụ cho biên soạn chương trình, giáo trình, tài liệu</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kèm theo bộ tài liệu và danh sách ký nhận tài liệu của các đại biểu tham dự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2. Chi đặc thù cho biên soạn chương trình, giáo trình, tài liệu (biên soạn chương trình hoặc viết </w:t>
            </w:r>
            <w:r w:rsidRPr="006B3F63">
              <w:rPr>
                <w:rFonts w:asciiTheme="majorHAnsi" w:eastAsia="Times New Roman" w:hAnsiTheme="majorHAnsi" w:cstheme="majorHAnsi"/>
                <w:sz w:val="28"/>
                <w:szCs w:val="28"/>
                <w:lang w:eastAsia="vi-VN"/>
              </w:rPr>
              <w:lastRenderedPageBreak/>
              <w:t>giáo trình, tài liệu; sửa chữa và biên tập tổng thể; thẩm định nhận xét)</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Hợp đồng, thanh lý hợp đồng, hóa đơn tài chính hoặc hợp đồng thuê khoán chuyên môn, thanh lý hợp đồng; kèm theo sản phẩm của từng hợp đồng.</w:t>
            </w:r>
          </w:p>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Ngoài ra, kèm theo 01 bộ tài liệu hoàn chỉnh do </w:t>
            </w:r>
            <w:r w:rsidRPr="006B3F63">
              <w:rPr>
                <w:rFonts w:asciiTheme="majorHAnsi" w:eastAsia="Times New Roman" w:hAnsiTheme="majorHAnsi" w:cstheme="majorHAnsi"/>
                <w:sz w:val="28"/>
                <w:szCs w:val="28"/>
                <w:lang w:eastAsia="vi-VN"/>
              </w:rPr>
              <w:lastRenderedPageBreak/>
              <w:t>cấp có thẩm quyền phê duyệt.</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lastRenderedPageBreak/>
              <w:t>III</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đào tạo, tập huấn: Khởi sự, nâng cao năng lực cho cơ sở công nghiệp nông thôn và cán bộ khuyến công; hội thảo, diễn đàn.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Đối với hoạt động đào tạo: Khởi sự, nâng cao năng lực cho cơ sở công nghiệp và nông thôn và cán bộ khuyến công</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a) Chi cho giảng viên:</w:t>
            </w:r>
          </w:p>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thù lao cho giảng viên (đã bao gồm cả việc soạn giáo án bài giảng):</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giảng dạy trong đó nêu rõ số buổi giảng, số tiền/buổi giảng, nội dung chương trình giảng dạy, thời gian giảng (giảng viên phải có giấy giới thiệu của đơn vị đang công tác hoặc bản sao hợp lệ văn bằng kèm theo để xác định mức chi trả theo quy định) và thanh lý hợp đồng; kèm theo danh sách ký nhận tiền/giấy biên nhận.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phụ cấp tiền ăn cho giảng viên</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chính/danh sách ký nhận tiền (theo mức khoán).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đưa đón</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Vé tàu, xe/phiếu thu tiền vận chuyển kèm theo thẻ lên máy bay.</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thuê phòng nghỉ</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chính/danh sách ký nhận tiền (theo mức khoán).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 Chi tổ chức lớp học:</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hội trường (hoặc phòng học), thuê dụng cụ giảng dạy như đèn chiếu, máy vi tính,...</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Tài liệu học tập theo nội dung chương trình khóa học cho học viên (không bao gồm tài liệu tham khảo); in chứng chỉ công nhận hoàn thành khóa học</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kèm theo bộ tài liệu và danh sách ký nhận tài liệu của các học viên tham dự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khác phục vụ trực tiếp lớp học (điện, nước, thông tin liên lạc, trông giữ xe, văn phòng phẩm,…)</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Có thể tính chung vào hợp đồng thuê hội trường hoặc hóa đơn tài chính hoặc biên nhận (đối với thuê cá nhân).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 Chi ra đề thi, coi thi, chấm thi; hội đồng xét kết quả; chi khai giảng, bế giảng; cấp chứng chỉ, khen thưởng học viên </w:t>
            </w:r>
            <w:r w:rsidRPr="006B3F63">
              <w:rPr>
                <w:rFonts w:asciiTheme="majorHAnsi" w:eastAsia="Times New Roman" w:hAnsiTheme="majorHAnsi" w:cstheme="majorHAnsi"/>
                <w:sz w:val="28"/>
                <w:szCs w:val="28"/>
                <w:lang w:eastAsia="vi-VN"/>
              </w:rPr>
              <w:lastRenderedPageBreak/>
              <w:t>xuất sắc</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Hóa đơn tài chính hoặc giấy biên nhận hoặc bảng kê công việc có ký nhận của người thực hiện hoặc danh sách có ký nhận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 Chi quản lý, phục vụ lớp học:</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Công tác phí cho cán bộ quản lý lớp học (trường hợp tổ chức lớp ở xa cơ sở đào tạo)</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Giấy đi đường (phụ cấp lưu trú), hóa đơn tài chính/danh sách ký nhận tiền (tiền phòng nghỉ), vé tàu xe/phiếu thu tiền cước vận chuyển kèm theo thẻ lên máy bay.</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Các khoản chi khác để phục vụ quản lý, điều hành lớp học (nếu có)</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hoặc giấy biên nhận hoặc bảng kê công việc có ký nhận của người thực hiện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d) Chi phí tổ chức cho học viên đi khảo sát, thực tế</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xe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167"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e) Chi hỗ trợ tiền ăn cho học viên (nếu có)</w:t>
            </w:r>
          </w:p>
        </w:tc>
        <w:tc>
          <w:tcPr>
            <w:tcW w:w="5953"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Bảng kê chi tiền ăn theo mức thanh toán khoán cho học viên (có ký nhận cua từng học viên) hoặc hóa đơn tài chính thanh toán tiền ăn theo thực tế đã được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2</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Đối với hoạt động tập huấn: Khởi sự, quản trị doanh nghiệp; hội thảo; diễn đàn (gọi tắt là hội nghị)</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hội trường tổ chức hội nghị (trường hợp đơn vị phải thuê ngoài); thuê máy chiếu, trang thiết bị trực tiếp phục vụ hội nghị</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hội trường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In tài liệu</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kèm theo bộ tài liệu và danh sách ký nhận tài liệu của các đại biểu tham dự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Tiền tài liệu, bút giấy (nếu có) cho đại biểu</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xe ô tô từ nơi nghỉ đến nơi tổ chức hội nghị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xe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giảng viên, báo cáo viên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Danh sách ký nhận tiền hoặc giấy biên nhận; hóa đơn tài chính/danh sách ký nhận tiền (tiền phòng nghỉ, hỗ trợ tiền ăn); vé tàu xe/phiếu thu tiền cước vận chuyển kèm thẻ lên máy bay (chi phí đi lại).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nước uống trong hội nghị</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cho ban tổ chức</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Giấy đi đường (phụ cấp lưu trú), hóa đơn tài chính/danh sách ký nhận tiền (tiền phòng nghỉ); vé tàu xe/phiếu thu tiền cước vận chuyển kèm thẻ lên máy bay (chi phí đi lại).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khác  như: Tiền  làm thêm giờ, tiền thuốc chữa bệnh thông thường, trang trí hội trường ...</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chứng từ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hỗ trợ tiền ăn, thuê phòng nghỉ cho đại biểu không hưởng lương từ ngân sách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Bảng kê chi tiền ăn, thuê phòng nghỉ theo mức thanh toán khoán cho đại biểu (có ký nhận của từng đại biểu hoặc hóa đơn tài chính thanh toán tiền ăn, thuê phòng nghỉ theo thực tế đã được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hỗ trợ tiền tàu xe đại biểu không hưởng lương từ ngân sách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Vé tàu, xe vận tải công cộng từ nơi đại biểu ở đến địa điểm hội nghị hoặc danh sách nhận tiền thanh toán khoán tự túc phương tiện (có ký nhận của từng đại biểu).</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IV</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hỗ trợ thành lập doanh nghiệp sản xuất công nghiệp nông thôn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 Trường hợp đơn vị thực hiện đề án không trực tiếp thực hiện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hỗ trợ kinh phí thành lập doanh nghiệp công nghiệp giữa đơn vị thực hiện đề án và tổ chức, cá nhân có nhu cầu thành lập doanh nghiệp; kèm theo bản sao hợp lệ chứng từ tương ứng như sau:</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Trường hợp tổ chức, cá nhân thuê tư vấn: Hợp đồng, thanh lý hợp đồng thuê tư vấn và hóa đơn tài chính.</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Trường hợp tổ chức, cá nhân trực tiếp thực hiện: Chứng từ chi cho các nội dung nghiên cứu hoàn thiện kế hoạch kinh doanh, dự án thành lập doanh nghiệp, phí đăng ký thành lập doanh nghiệp.</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2. Trường hợp đơn vị thực hiện đề án trực tiếp thực hiện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Chứng từ, hóa đơn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V</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hỗ trợ: Xây dựng mô hình trình diễn kỹ thuật; chuyển giao công nghệ, ứng dụng máy móc thiết bị tiên tiến; đánh giá sản xuất sạch hơn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Hỗ trợ xây dựng mô hình trình diễn kỹ thuật để phổ biến công nghệ mới, sản xuất sản phẩm mới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 Hợp đồng, thanh lý hợp đồng hỗ trợ giữa đơn vị thực hiện đề án và cơ sở công nghiệp nông </w:t>
            </w:r>
            <w:r w:rsidRPr="006B3F63">
              <w:rPr>
                <w:rFonts w:asciiTheme="majorHAnsi" w:eastAsia="Times New Roman" w:hAnsiTheme="majorHAnsi" w:cstheme="majorHAnsi"/>
                <w:sz w:val="28"/>
                <w:szCs w:val="28"/>
                <w:lang w:eastAsia="vi-VN"/>
              </w:rPr>
              <w:lastRenderedPageBreak/>
              <w:t>thôn.</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Bản sao hợp lệ các chứng từ tương ứng với giá trị kinh phí hỗ trợ như sau:</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xây dựng cơ bản: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Trường hợp cơ sở công nghiệp nông thôn thuê ngoài</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xây dựng, biên bản nghiệm thu, bàn giao khối lượng xây dựng cơ bản hoàn thành, hóa đơn tài chính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Trường hợp cơ sở công nghiệp nông thôn trực tiếp thực hiện phải tập hợp các chứng từ</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chứng từ mua nguyên vật liệu, chi phí nhân công, ...liên quan đến xây dựng cơ bản.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mua sắm thiết bị:</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mua sắm thiết bị; biên bản nghiệm thu và bàn giao thiết bị;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tổ chức hội nghị giới thiệu mô hình:</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hội trường tổ chức hội nghị (trường hợp đơn vị phải thuê ngoài); thuê máy chiếu, trang thiết bị trực tiếp phục vụ hội nghị</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hội trường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In tài liệu</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kèm theo bộ tài liệu và danh sách ký nhận tài liệu của các đại biểu tham dự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Tiền tài liệu, bút giấy (nếu có) cho đại biểu</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Thuê xe ô tô từ nơi nghỉ đến nơi tổ chức hội nghị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xe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nước uống trong hội nghị</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cho ban tổ chức</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Giấy đi đường (phụ cấp lưu trú), hóa đơn tài chính/danh sách ký nhận tiền (tiền ở); chứng từ theo quy định (chi phí đi lại).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khác như: Tiền làm thêm giờ, tiền thuốc chữa bệnh thông thường, trang trí hội trường ...</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chứng từ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 Chi hỗ trợ tiền ăn, thuê </w:t>
            </w:r>
            <w:r w:rsidRPr="006B3F63">
              <w:rPr>
                <w:rFonts w:asciiTheme="majorHAnsi" w:eastAsia="Times New Roman" w:hAnsiTheme="majorHAnsi" w:cstheme="majorHAnsi"/>
                <w:sz w:val="28"/>
                <w:szCs w:val="28"/>
                <w:lang w:eastAsia="vi-VN"/>
              </w:rPr>
              <w:lastRenderedPageBreak/>
              <w:t>phòng nghỉ cho đại biểu không hưởng lương từ ngân sách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xml:space="preserve">Bảng kê chi tiền ăn, thuê phòng nghỉ theo mức </w:t>
            </w:r>
            <w:r w:rsidRPr="006B3F63">
              <w:rPr>
                <w:rFonts w:asciiTheme="majorHAnsi" w:eastAsia="Times New Roman" w:hAnsiTheme="majorHAnsi" w:cstheme="majorHAnsi"/>
                <w:sz w:val="28"/>
                <w:szCs w:val="28"/>
                <w:lang w:eastAsia="vi-VN"/>
              </w:rPr>
              <w:lastRenderedPageBreak/>
              <w:t>thanh toán khoán cho đại biểu (có ký nhận của từng đại biểu hoặc hóa đơn tài chính thanh toán tiền ăn, thuê phòng nghỉ  theo thực tế đã được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hỗ trợ tiền tàu xe cho đại biểu không hưởng lương từ ngân sách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Vé tàu, xe vận tải công cộng từ nơi đại biểu ở đến địa điểm hội nghị hoặc danh sách nhận tiền thanh toán khoán tự túc phương tiện (có ký nhận của từng đại biểu).</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2</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Hỗ trợ chuyển giao công nghệ</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hỗ trợ giữa đơn vị thực hiện đề án và cơ sở công nghiệp nông thôn; kèm theo bản sao hợp lệ hợp đồng biên bản nghiệm thu và thanh lý hợp đồng chuyển giao công nghệ của cơ sở công nghiệp nông thôn theo quy định,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3</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Hỗ trợ ứng dụng máy móc tiên tiến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hỗ trợ giữa đơn vị thực hiện đề án và cơ sở công nghiệp nông thôn; bản sao hợp lệ hợp đồng mua máy móc tiên tiến của cơ sở công nghiệp nông thôn theo quy định, biên bản nghiệm thu và thanh lý hợp đồng,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4</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Hỗ trợ đánh giá sản xuất sạch hơn cho các cơ sở sản xuất công nghiệp</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a) Chi cho nhóm đánh giá sản xuất sạch hơn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Quyết định thành lập nhóm đánh giá sản xuất sạch hơn do cấp có thẩm quyền phê duyệt và các chứng từ chi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 Chi phí phân tích, đánh giá các kết quả, định mức của hệ thống sản xuất</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khoán chuyên môn/Hợp đồng, thanh lý hợp đồng và hóa đơn tài chính (nếu thuê tư vấn đánh giá) kèm theo sản phẩm của từng hợp đồng.</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 Chi phí hội họp đánh giá kết quả sản xuất sạch hơn: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Thuê hội trường tổ chức hội nghị (trường hợp đơn vị phải thuê ngoài); thuê máy chiếu, trang thiết bị trực tiếp phục vụ hội nghị</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hội trường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In tài liệu</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kèm theo bộ tài liệu và danh sách ký nhận tài liệu của các đại biểu tham dự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Tiền tài liệu, bút giấy cho đại biểu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nước uống trong hội nghị</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phí cho ban tổ chức</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Giấy đi đường (phụ cấp lưu trú), hóa đơn tài chính/danh sách ký nhận tiền (tiền ở); vé tàu xe/phiếu thu tiền cước vận chuyển kèm thẻ lên máy bay (chi phí đi lại).</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máy bay (chi phí đi lại).</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hỗ trợ tiền ăn cho đại biểu không hưởng lương từ ngân sách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Bảng kê chi tiền ăn theo mức thanh toán khoán cho đại biểu (có ký nhận của từng đại biểu) hoặc hóa đơn tài chính thanh toán tiền ăn theo thực tế đã được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Chi hỗ trợ tiền tàu xe cho đại biểu không hưởng lương từ ngân sách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Vé tàu, xe vận tải công cộng từ nơi đại biểu ở đến địa điểm hội nghị hoặc danh sách nhận tiền thanh toán khoán tự túc phương tiện (có ký nhận của từng đại biểu).</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VI</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phát triển sản phẩm công nghiệp nông thôn tiêu biểu</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Hoạt động tổ chức bình chọn và cấp giấy chứng nhận sản phẩm công nghiệp nông thôn tiêu biểu cấp khu vực, quốc gia</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a) Chi thông tin tuyên truyền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với cơ quan tuyên truyền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 Chi cho Hội đồng bình chọn, Ban giám khảo (tiền nghỉ, đi lại, phụ cấp lưu trú)</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Giấy đi đường (phụ cấp lưu trú), hóa đơn tài chính/danh sách ký nhận tiền (tiền ở); chứng từ theo quy định (chi phí đi lại); kèm theo quyết định thành lập Hội đồng bình chọn, Ban giám khảo</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 Chi thuê chuyên gia</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chuyên gia.</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d) Thuê địa điểm thực hiện công tác bình chọn (nếu có)</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thuê địa điểm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đ) Chi thiết kế, in ấn giấy chứng nhận sản phẩm công nghiệp nông thôn tiêu biểu; chi thiết kế, gia công tặng phẩm (cúp, kỷ niệm chương)</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Hóa đơn tài chính (Hợp đồng và thanh lý hợp đồng theo quy định của kho bạc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e) Chi cho Lễ công bố tôn vinh sản phẩm (thuê hội trường, trang trí, âm thanh, ánh sáng, chi phí phục vụ lễ trao giải)</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và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g) Chi thưởng cho sản </w:t>
            </w:r>
            <w:r w:rsidRPr="006B3F63">
              <w:rPr>
                <w:rFonts w:asciiTheme="majorHAnsi" w:eastAsia="Times New Roman" w:hAnsiTheme="majorHAnsi" w:cstheme="majorHAnsi"/>
                <w:sz w:val="28"/>
                <w:szCs w:val="28"/>
                <w:lang w:eastAsia="vi-VN"/>
              </w:rPr>
              <w:lastRenderedPageBreak/>
              <w:t>phẩm công nghiệp nông thôn tiêu biểu được bình chọn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xml:space="preserve">Quyết định khen thưởng của cấp có thẩm quyền </w:t>
            </w:r>
            <w:r w:rsidRPr="006B3F63">
              <w:rPr>
                <w:rFonts w:asciiTheme="majorHAnsi" w:eastAsia="Times New Roman" w:hAnsiTheme="majorHAnsi" w:cstheme="majorHAnsi"/>
                <w:sz w:val="28"/>
                <w:szCs w:val="28"/>
                <w:lang w:eastAsia="vi-VN"/>
              </w:rPr>
              <w:lastRenderedPageBreak/>
              <w:t>phê duyệt, danh sách ký nhận tiền khen thưởng.</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2</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Hoạt động tổ chức hội chợ, triển lãm hàng công nghiệp nông thôn, hàng thủ công mỹ nghệ</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ED6CFE" w:rsidP="00156A1B">
            <w:pPr>
              <w:spacing w:before="40" w:after="40" w:line="240" w:lineRule="auto"/>
              <w:ind w:left="48" w:right="124"/>
              <w:jc w:val="both"/>
              <w:rPr>
                <w:rFonts w:asciiTheme="majorHAnsi" w:eastAsia="Times New Roman" w:hAnsiTheme="majorHAnsi" w:cstheme="majorHAnsi"/>
                <w:sz w:val="28"/>
                <w:szCs w:val="28"/>
                <w:lang w:eastAsia="vi-VN"/>
              </w:rPr>
            </w:pPr>
            <w:r w:rsidRPr="001A3454">
              <w:rPr>
                <w:rFonts w:asciiTheme="majorHAnsi" w:eastAsia="Times New Roman" w:hAnsiTheme="majorHAnsi" w:cstheme="majorHAnsi"/>
                <w:sz w:val="28"/>
                <w:szCs w:val="28"/>
                <w:lang w:eastAsia="vi-VN"/>
              </w:rPr>
              <w:t>Đ</w:t>
            </w:r>
            <w:r w:rsidR="006B3F63" w:rsidRPr="006B3F63">
              <w:rPr>
                <w:rFonts w:asciiTheme="majorHAnsi" w:eastAsia="Times New Roman" w:hAnsiTheme="majorHAnsi" w:cstheme="majorHAnsi"/>
                <w:sz w:val="28"/>
                <w:szCs w:val="28"/>
                <w:lang w:eastAsia="vi-VN"/>
              </w:rPr>
              <w:t xml:space="preserve">ơn vị thực hiện đề án là Trung tâm Khuyến công </w:t>
            </w:r>
            <w:r w:rsidR="00911A67">
              <w:rPr>
                <w:rFonts w:asciiTheme="majorHAnsi" w:eastAsia="Times New Roman" w:hAnsiTheme="majorHAnsi" w:cstheme="majorHAnsi"/>
                <w:sz w:val="28"/>
                <w:szCs w:val="28"/>
                <w:lang w:eastAsia="vi-VN"/>
              </w:rPr>
              <w:t xml:space="preserve">và Xúc tiến </w:t>
            </w:r>
            <w:r w:rsidR="00911A67" w:rsidRPr="00911A67">
              <w:rPr>
                <w:rFonts w:asciiTheme="majorHAnsi" w:eastAsia="Times New Roman" w:hAnsiTheme="majorHAnsi" w:cstheme="majorHAnsi"/>
                <w:sz w:val="28"/>
                <w:szCs w:val="28"/>
                <w:lang w:eastAsia="vi-VN"/>
              </w:rPr>
              <w:t>T</w:t>
            </w:r>
            <w:r w:rsidR="001C58B4" w:rsidRPr="001C58B4">
              <w:rPr>
                <w:rFonts w:asciiTheme="majorHAnsi" w:eastAsia="Times New Roman" w:hAnsiTheme="majorHAnsi" w:cstheme="majorHAnsi"/>
                <w:sz w:val="28"/>
                <w:szCs w:val="28"/>
                <w:lang w:eastAsia="vi-VN"/>
              </w:rPr>
              <w:t xml:space="preserve">hương mại </w:t>
            </w:r>
            <w:r w:rsidR="006B3F63" w:rsidRPr="006B3F63">
              <w:rPr>
                <w:rFonts w:asciiTheme="majorHAnsi" w:eastAsia="Times New Roman" w:hAnsiTheme="majorHAnsi" w:cstheme="majorHAnsi"/>
                <w:sz w:val="28"/>
                <w:szCs w:val="28"/>
                <w:lang w:eastAsia="vi-VN"/>
              </w:rPr>
              <w:t>(đấu thầu để lựa chọn đơn vị sự kiện tổ chức hội chợ, triển lãm)</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giữa đơn vị thực hiện đề án và đơn vị sự kiện tổ chức hội chợ, triển lãm kèm theo hóa đơn tài chính.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3</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Hoạt động hỗ trợ cơ sở công nghiệp nông thôn đi tham gia hội chợ triển lãm khác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a) Trường hợp đơn vị thực hiện đề án là Trung tâm Khuyến công </w:t>
            </w:r>
            <w:r w:rsidR="001C58B4" w:rsidRPr="001C58B4">
              <w:rPr>
                <w:rFonts w:asciiTheme="majorHAnsi" w:eastAsia="Times New Roman" w:hAnsiTheme="majorHAnsi" w:cstheme="majorHAnsi"/>
                <w:sz w:val="28"/>
                <w:szCs w:val="28"/>
                <w:lang w:eastAsia="vi-VN"/>
              </w:rPr>
              <w:t xml:space="preserve">và Xúc tiến thương mại </w:t>
            </w:r>
            <w:r w:rsidRPr="006B3F63">
              <w:rPr>
                <w:rFonts w:asciiTheme="majorHAnsi" w:eastAsia="Times New Roman" w:hAnsiTheme="majorHAnsi" w:cstheme="majorHAnsi"/>
                <w:sz w:val="28"/>
                <w:szCs w:val="28"/>
                <w:lang w:eastAsia="vi-VN"/>
              </w:rPr>
              <w:t>có ký hợp đồng với đơn vị sự kiện tổ chức hội chợ, triển lãm</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giữa đơn vị thực hiện đề án và đơn vị sự kiện tổ chức hội chợ, triển lãm và hóa đơn tài chính; kèm theo bản sao hợp lệ:</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Hợp đồng thuê gian hàng giữa cơ sở công nghiệp nông thôn và đơn vị sự kiện tổ chức hội chợ (trong đó phải ghi rõ vị trí gian hàng, số lượng gian hàng, giá thuê gian hàng và mức được  khuyến công quốc gia hỗ trợ).</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Hóa đơn tài chính của đơn vị sự kiện tổ chức hội chợ, triển lãm thu tiền thuê gian hàng của cơ sở công nghiệp nông thôn (số tiền cơ sở công nghiệp nông thôn tự chi trả).</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 Trường hợp đơn vị thực hiện đề án hỗ trợ trực tiếp các cơ sở công nghiệp nông thôn tham gia các hội chợ triển lãm</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hỗ trợ giữa đơn vị thực hiện đề án và cơ sở công nghiệp nông thôn được hỗ trợ; kèm theo bản sao hợp lệ:</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Hợp đồng thuê gian hàng giữa cơ sở công nghiệp nông thôn và đơn vị sự kiện tổ chức hội chợ (trong đó phải ghi rõ vị trí gian hàng, số lượng gian hàng, giá thuê gian hàng và mức được khuyến công quốc gia hỗ trợ).</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Hóa đơn tài chính của đơn vị sự kiện tổ chức hội chợ, triển lãm thu tiền thuê gian hàng của cơ sở công nghiệp nông thôn.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4</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Hoạt động hỗ trợ xây dựng và đăng ký thương hiệu</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a) Trường hợp đơn vị thực hiện đề án là các tổ chức dịch vụ khuyến công không </w:t>
            </w:r>
            <w:r w:rsidRPr="006B3F63">
              <w:rPr>
                <w:rFonts w:asciiTheme="majorHAnsi" w:eastAsia="Times New Roman" w:hAnsiTheme="majorHAnsi" w:cstheme="majorHAnsi"/>
                <w:sz w:val="28"/>
                <w:szCs w:val="28"/>
                <w:lang w:eastAsia="vi-VN"/>
              </w:rPr>
              <w:lastRenderedPageBreak/>
              <w:t>trực tiếp thực hiện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xml:space="preserve">Hợp đồng, thanh lý hợp đồng hỗ trợ giữa đơn vị thực hiện đề án và cơ sở công nghiệp nông thôn; kèm theo bản sao hợp lệ hợp đồng, thanh lý hợp </w:t>
            </w:r>
            <w:r w:rsidRPr="006B3F63">
              <w:rPr>
                <w:rFonts w:asciiTheme="majorHAnsi" w:eastAsia="Times New Roman" w:hAnsiTheme="majorHAnsi" w:cstheme="majorHAnsi"/>
                <w:sz w:val="28"/>
                <w:szCs w:val="28"/>
                <w:lang w:eastAsia="vi-VN"/>
              </w:rPr>
              <w:lastRenderedPageBreak/>
              <w:t>đồng, hóa đơn tài chính giữa cơ sở công nghiệp nông thôn và đơn vị tư vấn xây dựng đăng ký thương hiệu.</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Đối với những nội dung cơ sở công nghiệp nông thôn tự thực hiện: Bản sao hợp lệ các chứng từ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 Trường hợp đơn vị thực hiện đề án là các tổ chức dịch vụ khuyến công trực tiếp thực hiện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Chứng từ, hóa đơn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VII</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tư vấn trợ giúp cho các cơ sở công nghiệp nông thôn (theo các lĩnh vực đã quy định tại </w:t>
            </w:r>
            <w:bookmarkStart w:id="3" w:name="dc_16"/>
            <w:r w:rsidRPr="006B3F63">
              <w:rPr>
                <w:rFonts w:asciiTheme="majorHAnsi" w:eastAsia="Times New Roman" w:hAnsiTheme="majorHAnsi" w:cstheme="majorHAnsi"/>
                <w:b/>
                <w:bCs/>
                <w:sz w:val="28"/>
                <w:szCs w:val="28"/>
                <w:lang w:eastAsia="vi-VN"/>
              </w:rPr>
              <w:t>Khoản 5, Điều 4 Nghị định số 45/2012/NĐ-CP</w:t>
            </w:r>
            <w:bookmarkEnd w:id="3"/>
            <w:r w:rsidRPr="006B3F63">
              <w:rPr>
                <w:rFonts w:asciiTheme="majorHAnsi" w:eastAsia="Times New Roman" w:hAnsiTheme="majorHAnsi" w:cstheme="majorHAnsi"/>
                <w:b/>
                <w:bCs/>
                <w:sz w:val="28"/>
                <w:szCs w:val="28"/>
                <w:lang w:eastAsia="vi-VN"/>
              </w:rPr>
              <w:t>)</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a) Trường hợp đơn vị thực hiện đề án là các tổ chức dịch vụ khuyến công không trực tiếp thực hiện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hỗ trợ giữa đơn vị thực hiện đề án và cơ sở công nghiệp nông thôn được hỗ trợ; bản sao hợp lệ hợp đồng, thanh lý hợp đồng, hóa đơn tài chính giữa cơ sở công nghiệp nông thôn và đơn vị tư vấn; kèm theo sản phẩm của kết quả hoạt động tư vấn.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b) Trường hợp đơn vị thực hiện đề án trực tiếp thực hiện</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Chứng từ, hóa đơn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VIII</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Hoạt động hỗ trợ: Lập quy hoạch chi tiết, đầu tư xây dựng kết cấu hạ tầng cụm công nghiệp; xây dựng hệ thống xử lý ô nhiễm môi trường tại các cụm công nghiệp và tại cơ sở công nghiệp nông thôn</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1</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Hỗ trợ lập quy hoạch chi tiết cụm công nghiệp (đơn vị thực hiện đề án là tổ chức dịch vụ khuyến công)</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hỗ trợ giữa tổ chức dịch vụ khuyến công và chủ đầu tư; kèm theo bản sao hợp lệ các chứng từ tương ứng của chủ đầu tư dưới đây:</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Trường hợp chủ đầu tư thuê tư vấn: Hợp đồng, biên bản nghiệm thu và thanh lý hợp đồng, hóa đơn tài chính giữa chủ đầu tư và đơn vị tư vấn.</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Trường hợp chủ đầu tư trực tiếp thực hiện: Các chứng từ chi các nội dung công việc thực hiện lập quy hoạch theo quy định.</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2</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xml:space="preserve">Hỗ trợ đầu tư xây dựng kết cấu hạ tầng cụm công nghiệp, xây dựng hệ thống xử lý ô nhiễm môi trường tại các cụm công nghiệp và tại cơ sở công nghiệp nông thôn (đơn vị thực hiện đề </w:t>
            </w:r>
            <w:r w:rsidRPr="006B3F63">
              <w:rPr>
                <w:rFonts w:asciiTheme="majorHAnsi" w:eastAsia="Times New Roman" w:hAnsiTheme="majorHAnsi" w:cstheme="majorHAnsi"/>
                <w:sz w:val="28"/>
                <w:szCs w:val="28"/>
                <w:lang w:eastAsia="vi-VN"/>
              </w:rPr>
              <w:lastRenderedPageBreak/>
              <w:t>án là tổ chức dịch vụ khuyến công)</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Hợp đồng, thanh lý hợp đồng hỗ trợ giữa tổ chức dịch vụ khuyến công và chủ đầu tư; kèm theo bản sao hợp lệ các chứng từ tương ứng của chủ đầu tư dưới đây:</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Trường hợp chủ đầu tư thuê nhà thầu: Hợp đồng, thanh lý hợp đồng giữa chủ đầu tư và nhà thầu; hóa đơn tài chính.</w:t>
            </w:r>
          </w:p>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lastRenderedPageBreak/>
              <w:t>- Trường hợp chủ đầu tư trực tiếp thực hiện: Các chứng từ chi trên cơ sở bảng xác định giá trị khối lượng công việc hoàn thành và dự toán được duyệt phù hợp với tích chất từng loại công việc và theo định mức, đơn giá quy định của Nhà nước.</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A317D1">
            <w:pPr>
              <w:spacing w:before="40" w:after="40" w:line="240" w:lineRule="auto"/>
              <w:jc w:val="center"/>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lastRenderedPageBreak/>
              <w:t>IX</w:t>
            </w:r>
          </w:p>
        </w:tc>
        <w:tc>
          <w:tcPr>
            <w:tcW w:w="9120" w:type="dxa"/>
            <w:gridSpan w:val="3"/>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b/>
                <w:bCs/>
                <w:sz w:val="28"/>
                <w:szCs w:val="28"/>
                <w:lang w:eastAsia="vi-VN"/>
              </w:rPr>
              <w:t>Chi công tác quản lý, chỉ đạo, kiểm tra, giám sát, chi khác (nếu có)</w:t>
            </w:r>
          </w:p>
        </w:tc>
      </w:tr>
      <w:tr w:rsidR="006B3F63" w:rsidRPr="006B3F63" w:rsidTr="006B3F63">
        <w:trPr>
          <w:tblCellSpacing w:w="0" w:type="dxa"/>
        </w:trPr>
        <w:tc>
          <w:tcPr>
            <w:tcW w:w="681" w:type="dxa"/>
            <w:tcBorders>
              <w:top w:val="nil"/>
              <w:left w:val="single" w:sz="8" w:space="0" w:color="auto"/>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3311" w:type="dxa"/>
            <w:gridSpan w:val="2"/>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48" w:right="124"/>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 </w:t>
            </w:r>
          </w:p>
        </w:tc>
        <w:tc>
          <w:tcPr>
            <w:tcW w:w="5809" w:type="dxa"/>
            <w:tcBorders>
              <w:top w:val="nil"/>
              <w:left w:val="nil"/>
              <w:bottom w:val="single" w:sz="8" w:space="0" w:color="auto"/>
              <w:right w:val="single" w:sz="8" w:space="0" w:color="auto"/>
            </w:tcBorders>
            <w:shd w:val="clear" w:color="auto" w:fill="FFFFFF"/>
            <w:hideMark/>
          </w:tcPr>
          <w:p w:rsidR="006B3F63" w:rsidRPr="006B3F63" w:rsidRDefault="006B3F63" w:rsidP="00156A1B">
            <w:pPr>
              <w:spacing w:before="40" w:after="40" w:line="240" w:lineRule="auto"/>
              <w:ind w:left="141" w:right="122"/>
              <w:jc w:val="both"/>
              <w:rPr>
                <w:rFonts w:asciiTheme="majorHAnsi" w:eastAsia="Times New Roman" w:hAnsiTheme="majorHAnsi" w:cstheme="majorHAnsi"/>
                <w:sz w:val="28"/>
                <w:szCs w:val="28"/>
                <w:lang w:eastAsia="vi-VN"/>
              </w:rPr>
            </w:pPr>
            <w:r w:rsidRPr="006B3F63">
              <w:rPr>
                <w:rFonts w:asciiTheme="majorHAnsi" w:eastAsia="Times New Roman" w:hAnsiTheme="majorHAnsi" w:cstheme="majorHAnsi"/>
                <w:sz w:val="28"/>
                <w:szCs w:val="28"/>
                <w:lang w:eastAsia="vi-VN"/>
              </w:rPr>
              <w:t>Hợp đồng, thanh lý hợp đồng ký kết với cá nhân hoặc quyết định của đơn vị cử cán bộ quản lý, chỉ đạo, kiểm tra giám sát đề án và các chứng từ chi phục vụ cho việc quản lý, chỉ đạo, kiểm tra, giám sát, chi khác phục vụ cho việc thực hiện đề án theo quy định.</w:t>
            </w:r>
          </w:p>
        </w:tc>
      </w:tr>
    </w:tbl>
    <w:p w:rsidR="002871E6" w:rsidRPr="006B3F63" w:rsidRDefault="002871E6" w:rsidP="00156A1B">
      <w:pPr>
        <w:spacing w:before="40" w:after="40" w:line="240" w:lineRule="auto"/>
        <w:jc w:val="both"/>
        <w:rPr>
          <w:rFonts w:asciiTheme="majorHAnsi" w:hAnsiTheme="majorHAnsi" w:cstheme="majorHAnsi"/>
          <w:sz w:val="28"/>
          <w:szCs w:val="28"/>
        </w:rPr>
      </w:pPr>
    </w:p>
    <w:p w:rsidR="00156A1B" w:rsidRDefault="00156A1B" w:rsidP="00156A1B">
      <w:pPr>
        <w:spacing w:before="40" w:after="40" w:line="240" w:lineRule="auto"/>
        <w:jc w:val="both"/>
        <w:rPr>
          <w:rFonts w:asciiTheme="majorHAnsi" w:hAnsiTheme="majorHAnsi" w:cstheme="majorHAnsi"/>
          <w:sz w:val="28"/>
          <w:szCs w:val="28"/>
        </w:rPr>
      </w:pPr>
    </w:p>
    <w:p w:rsidR="00156A1B" w:rsidRPr="00156A1B" w:rsidRDefault="00156A1B" w:rsidP="00156A1B">
      <w:pPr>
        <w:rPr>
          <w:rFonts w:asciiTheme="majorHAnsi" w:hAnsiTheme="majorHAnsi" w:cstheme="majorHAnsi"/>
          <w:sz w:val="28"/>
          <w:szCs w:val="28"/>
        </w:rPr>
      </w:pPr>
    </w:p>
    <w:p w:rsidR="00156A1B" w:rsidRPr="00156A1B" w:rsidRDefault="00156A1B" w:rsidP="00156A1B">
      <w:pPr>
        <w:rPr>
          <w:rFonts w:asciiTheme="majorHAnsi" w:hAnsiTheme="majorHAnsi" w:cstheme="majorHAnsi"/>
          <w:sz w:val="28"/>
          <w:szCs w:val="28"/>
        </w:rPr>
      </w:pPr>
    </w:p>
    <w:p w:rsidR="00156A1B" w:rsidRPr="00156A1B" w:rsidRDefault="00156A1B" w:rsidP="00156A1B">
      <w:pPr>
        <w:rPr>
          <w:rFonts w:asciiTheme="majorHAnsi" w:hAnsiTheme="majorHAnsi" w:cstheme="majorHAnsi"/>
          <w:sz w:val="28"/>
          <w:szCs w:val="28"/>
        </w:rPr>
      </w:pPr>
    </w:p>
    <w:p w:rsidR="00156A1B" w:rsidRDefault="00156A1B" w:rsidP="00156A1B">
      <w:pPr>
        <w:rPr>
          <w:rFonts w:asciiTheme="majorHAnsi" w:hAnsiTheme="majorHAnsi" w:cstheme="majorHAnsi"/>
          <w:sz w:val="28"/>
          <w:szCs w:val="28"/>
        </w:rPr>
      </w:pPr>
    </w:p>
    <w:p w:rsidR="006B3F63" w:rsidRPr="00156A1B" w:rsidRDefault="00156A1B" w:rsidP="00156A1B">
      <w:pPr>
        <w:tabs>
          <w:tab w:val="left" w:pos="7282"/>
        </w:tabs>
        <w:rPr>
          <w:rFonts w:asciiTheme="majorHAnsi" w:hAnsiTheme="majorHAnsi" w:cstheme="majorHAnsi"/>
          <w:sz w:val="28"/>
          <w:szCs w:val="28"/>
        </w:rPr>
      </w:pPr>
      <w:r>
        <w:rPr>
          <w:rFonts w:asciiTheme="majorHAnsi" w:hAnsiTheme="majorHAnsi" w:cstheme="majorHAnsi"/>
          <w:sz w:val="28"/>
          <w:szCs w:val="28"/>
        </w:rPr>
        <w:tab/>
      </w:r>
    </w:p>
    <w:sectPr w:rsidR="006B3F63" w:rsidRPr="00156A1B" w:rsidSect="006B3F63">
      <w:headerReference w:type="default" r:id="rId11"/>
      <w:pgSz w:w="11906" w:h="16838"/>
      <w:pgMar w:top="1021" w:right="907"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B8C" w:rsidRDefault="00F14B8C" w:rsidP="006B3F63">
      <w:pPr>
        <w:spacing w:after="0" w:line="240" w:lineRule="auto"/>
      </w:pPr>
      <w:r>
        <w:separator/>
      </w:r>
    </w:p>
  </w:endnote>
  <w:endnote w:type="continuationSeparator" w:id="0">
    <w:p w:rsidR="00F14B8C" w:rsidRDefault="00F14B8C" w:rsidP="006B3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B8C" w:rsidRDefault="00F14B8C" w:rsidP="006B3F63">
      <w:pPr>
        <w:spacing w:after="0" w:line="240" w:lineRule="auto"/>
      </w:pPr>
      <w:r>
        <w:separator/>
      </w:r>
    </w:p>
  </w:footnote>
  <w:footnote w:type="continuationSeparator" w:id="0">
    <w:p w:rsidR="00F14B8C" w:rsidRDefault="00F14B8C" w:rsidP="006B3F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527862"/>
      <w:docPartObj>
        <w:docPartGallery w:val="Page Numbers (Top of Page)"/>
        <w:docPartUnique/>
      </w:docPartObj>
    </w:sdtPr>
    <w:sdtEndPr>
      <w:rPr>
        <w:rFonts w:asciiTheme="majorHAnsi" w:hAnsiTheme="majorHAnsi" w:cstheme="majorHAnsi"/>
        <w:noProof/>
        <w:sz w:val="28"/>
        <w:szCs w:val="28"/>
      </w:rPr>
    </w:sdtEndPr>
    <w:sdtContent>
      <w:p w:rsidR="006B3F63" w:rsidRPr="006B3F63" w:rsidRDefault="006B3F63">
        <w:pPr>
          <w:pStyle w:val="Header"/>
          <w:jc w:val="center"/>
          <w:rPr>
            <w:rFonts w:asciiTheme="majorHAnsi" w:hAnsiTheme="majorHAnsi" w:cstheme="majorHAnsi"/>
            <w:sz w:val="28"/>
            <w:szCs w:val="28"/>
          </w:rPr>
        </w:pPr>
        <w:r w:rsidRPr="006B3F63">
          <w:rPr>
            <w:rFonts w:asciiTheme="majorHAnsi" w:hAnsiTheme="majorHAnsi" w:cstheme="majorHAnsi"/>
            <w:sz w:val="28"/>
            <w:szCs w:val="28"/>
          </w:rPr>
          <w:fldChar w:fldCharType="begin"/>
        </w:r>
        <w:r w:rsidRPr="006B3F63">
          <w:rPr>
            <w:rFonts w:asciiTheme="majorHAnsi" w:hAnsiTheme="majorHAnsi" w:cstheme="majorHAnsi"/>
            <w:sz w:val="28"/>
            <w:szCs w:val="28"/>
          </w:rPr>
          <w:instrText xml:space="preserve"> PAGE   \* MERGEFORMAT </w:instrText>
        </w:r>
        <w:r w:rsidRPr="006B3F63">
          <w:rPr>
            <w:rFonts w:asciiTheme="majorHAnsi" w:hAnsiTheme="majorHAnsi" w:cstheme="majorHAnsi"/>
            <w:sz w:val="28"/>
            <w:szCs w:val="28"/>
          </w:rPr>
          <w:fldChar w:fldCharType="separate"/>
        </w:r>
        <w:r w:rsidR="0004220B">
          <w:rPr>
            <w:rFonts w:asciiTheme="majorHAnsi" w:hAnsiTheme="majorHAnsi" w:cstheme="majorHAnsi"/>
            <w:noProof/>
            <w:sz w:val="28"/>
            <w:szCs w:val="28"/>
          </w:rPr>
          <w:t>1</w:t>
        </w:r>
        <w:r w:rsidRPr="006B3F63">
          <w:rPr>
            <w:rFonts w:asciiTheme="majorHAnsi" w:hAnsiTheme="majorHAnsi" w:cstheme="majorHAnsi"/>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F63"/>
    <w:rsid w:val="00022695"/>
    <w:rsid w:val="0004220B"/>
    <w:rsid w:val="00156A1B"/>
    <w:rsid w:val="001A3454"/>
    <w:rsid w:val="001C58B4"/>
    <w:rsid w:val="0020790A"/>
    <w:rsid w:val="002871E6"/>
    <w:rsid w:val="003F28F3"/>
    <w:rsid w:val="004759BB"/>
    <w:rsid w:val="006B3F63"/>
    <w:rsid w:val="007C46B1"/>
    <w:rsid w:val="00911A67"/>
    <w:rsid w:val="00A317D1"/>
    <w:rsid w:val="00E414D5"/>
    <w:rsid w:val="00ED6CFE"/>
    <w:rsid w:val="00F14B8C"/>
    <w:rsid w:val="00F266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3F6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6B3F63"/>
    <w:rPr>
      <w:color w:val="0000FF"/>
      <w:u w:val="single"/>
    </w:rPr>
  </w:style>
  <w:style w:type="paragraph" w:styleId="Header">
    <w:name w:val="header"/>
    <w:basedOn w:val="Normal"/>
    <w:link w:val="HeaderChar"/>
    <w:uiPriority w:val="99"/>
    <w:unhideWhenUsed/>
    <w:rsid w:val="006B3F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3F63"/>
  </w:style>
  <w:style w:type="paragraph" w:styleId="Footer">
    <w:name w:val="footer"/>
    <w:basedOn w:val="Normal"/>
    <w:link w:val="FooterChar"/>
    <w:uiPriority w:val="99"/>
    <w:unhideWhenUsed/>
    <w:rsid w:val="006B3F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3F63"/>
  </w:style>
  <w:style w:type="paragraph" w:styleId="BalloonText">
    <w:name w:val="Balloon Text"/>
    <w:basedOn w:val="Normal"/>
    <w:link w:val="BalloonTextChar"/>
    <w:uiPriority w:val="99"/>
    <w:semiHidden/>
    <w:unhideWhenUsed/>
    <w:rsid w:val="00A317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7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3F6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6B3F63"/>
    <w:rPr>
      <w:color w:val="0000FF"/>
      <w:u w:val="single"/>
    </w:rPr>
  </w:style>
  <w:style w:type="paragraph" w:styleId="Header">
    <w:name w:val="header"/>
    <w:basedOn w:val="Normal"/>
    <w:link w:val="HeaderChar"/>
    <w:uiPriority w:val="99"/>
    <w:unhideWhenUsed/>
    <w:rsid w:val="006B3F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3F63"/>
  </w:style>
  <w:style w:type="paragraph" w:styleId="Footer">
    <w:name w:val="footer"/>
    <w:basedOn w:val="Normal"/>
    <w:link w:val="FooterChar"/>
    <w:uiPriority w:val="99"/>
    <w:unhideWhenUsed/>
    <w:rsid w:val="006B3F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3F63"/>
  </w:style>
  <w:style w:type="paragraph" w:styleId="BalloonText">
    <w:name w:val="Balloon Text"/>
    <w:basedOn w:val="Normal"/>
    <w:link w:val="BalloonTextChar"/>
    <w:uiPriority w:val="99"/>
    <w:semiHidden/>
    <w:unhideWhenUsed/>
    <w:rsid w:val="00A317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7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0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thong-tu-123-2012-tt-btc-huong-dan-luat-thue-thu-nhap-doanh-nghiep-14-2008-qh12-145393.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doanh-nghiep/nghi-dinh-122-2011-nd-cp-sua-doi-nghi-dinh-124-2008-nd-cp-huong-dan-luat-thue-133471.aspx" TargetMode="External"/><Relationship Id="rId4" Type="http://schemas.openxmlformats.org/officeDocument/2006/relationships/settings" Target="settings.xml"/><Relationship Id="rId9" Type="http://schemas.openxmlformats.org/officeDocument/2006/relationships/hyperlink" Target="https://thuvienphapluat.vn/van-ban/doanh-nghiep/nghi-dinh-124-2008-nd-cp-huong-dan-luat-thue-thu-nhap-doanh-nghiep-8267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E3933-03A3-4ADE-8AB1-B9514FB8B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3415</Words>
  <Characters>19470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dc:creator>
  <cp:lastModifiedBy>USER</cp:lastModifiedBy>
  <cp:revision>2</cp:revision>
  <cp:lastPrinted>2019-03-20T13:51:00Z</cp:lastPrinted>
  <dcterms:created xsi:type="dcterms:W3CDTF">2019-04-24T09:22:00Z</dcterms:created>
  <dcterms:modified xsi:type="dcterms:W3CDTF">2019-04-24T09:22:00Z</dcterms:modified>
</cp:coreProperties>
</file>